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E6E6E6"/>
        <w:tblCellMar>
          <w:left w:w="0" w:type="dxa"/>
          <w:right w:w="0" w:type="dxa"/>
        </w:tblCellMar>
        <w:tblLook w:val="04A0" w:firstRow="1" w:lastRow="0" w:firstColumn="1" w:lastColumn="0" w:noHBand="0" w:noVBand="1"/>
      </w:tblPr>
      <w:tblGrid>
        <w:gridCol w:w="9360"/>
      </w:tblGrid>
      <w:tr w:rsidR="001F452C" w:rsidRPr="001F452C" w14:paraId="66D822EC" w14:textId="77777777">
        <w:trPr>
          <w:tblCellSpacing w:w="0" w:type="dxa"/>
        </w:trPr>
        <w:tc>
          <w:tcPr>
            <w:tcW w:w="0" w:type="auto"/>
            <w:shd w:val="clear" w:color="auto" w:fill="E6E6E6"/>
            <w:hideMark/>
          </w:tcPr>
          <w:tbl>
            <w:tblPr>
              <w:tblW w:w="9330" w:type="dxa"/>
              <w:jc w:val="center"/>
              <w:tblCellSpacing w:w="0" w:type="dxa"/>
              <w:tblCellMar>
                <w:left w:w="0" w:type="dxa"/>
                <w:right w:w="0" w:type="dxa"/>
              </w:tblCellMar>
              <w:tblLook w:val="04A0" w:firstRow="1" w:lastRow="0" w:firstColumn="1" w:lastColumn="0" w:noHBand="0" w:noVBand="1"/>
            </w:tblPr>
            <w:tblGrid>
              <w:gridCol w:w="9330"/>
            </w:tblGrid>
            <w:tr w:rsidR="001F452C" w:rsidRPr="001F452C" w14:paraId="5358DE80"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14"/>
                  </w:tblGrid>
                  <w:tr w:rsidR="001F452C" w:rsidRPr="001F452C" w14:paraId="507B117A" w14:textId="77777777">
                    <w:trPr>
                      <w:tblCellSpacing w:w="0" w:type="dxa"/>
                      <w:jc w:val="center"/>
                    </w:trPr>
                    <w:tc>
                      <w:tcPr>
                        <w:tcW w:w="0" w:type="auto"/>
                        <w:tcBorders>
                          <w:top w:val="single" w:sz="6" w:space="0" w:color="869198"/>
                          <w:left w:val="single" w:sz="6" w:space="0" w:color="869198"/>
                          <w:bottom w:val="single" w:sz="6" w:space="0" w:color="869198"/>
                          <w:right w:val="single" w:sz="6" w:space="0" w:color="869198"/>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1F452C" w:rsidRPr="001F452C" w14:paraId="265C4E2E" w14:textId="77777777">
                          <w:trPr>
                            <w:tblCellSpacing w:w="0" w:type="dxa"/>
                            <w:jc w:val="center"/>
                          </w:trPr>
                          <w:tc>
                            <w:tcPr>
                              <w:tcW w:w="90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1F452C" w:rsidRPr="001F452C" w14:paraId="733DA94C" w14:textId="77777777">
                                <w:trPr>
                                  <w:tblCellSpacing w:w="0" w:type="dxa"/>
                                  <w:jc w:val="center"/>
                                </w:trPr>
                                <w:tc>
                                  <w:tcPr>
                                    <w:tcW w:w="0" w:type="auto"/>
                                    <w:tcMar>
                                      <w:top w:w="150" w:type="dxa"/>
                                      <w:left w:w="300" w:type="dxa"/>
                                      <w:bottom w:w="150" w:type="dxa"/>
                                      <w:right w:w="300" w:type="dxa"/>
                                    </w:tcMar>
                                    <w:hideMark/>
                                  </w:tcPr>
                                  <w:p w14:paraId="59A546F2" w14:textId="77777777" w:rsidR="001F452C" w:rsidRPr="001F452C" w:rsidRDefault="001F452C" w:rsidP="001F452C">
                                    <w:r w:rsidRPr="001F452C">
                                      <w:rPr>
                                        <w:i/>
                                        <w:iCs/>
                                        <w:u w:val="single"/>
                                      </w:rPr>
                                      <w:t>November 14, 2025</w:t>
                                    </w:r>
                                  </w:p>
                                  <w:p w14:paraId="349FA4B5" w14:textId="77777777" w:rsidR="001F452C" w:rsidRPr="001F452C" w:rsidRDefault="001F452C" w:rsidP="001F452C"/>
                                  <w:p w14:paraId="6B7E71B8" w14:textId="77777777" w:rsidR="001F452C" w:rsidRPr="001F452C" w:rsidRDefault="001F452C" w:rsidP="001F452C">
                                    <w:pPr>
                                      <w:rPr>
                                        <w:sz w:val="40"/>
                                        <w:szCs w:val="40"/>
                                      </w:rPr>
                                    </w:pPr>
                                    <w:r w:rsidRPr="001F452C">
                                      <w:rPr>
                                        <w:b/>
                                        <w:bCs/>
                                        <w:i/>
                                        <w:iCs/>
                                        <w:sz w:val="40"/>
                                        <w:szCs w:val="40"/>
                                      </w:rPr>
                                      <w:t>Terrebonne Parish Business News</w:t>
                                    </w:r>
                                  </w:p>
                                  <w:p w14:paraId="08D1120B" w14:textId="77777777" w:rsidR="001F452C" w:rsidRPr="001F452C" w:rsidRDefault="001F452C" w:rsidP="001F452C">
                                    <w:r w:rsidRPr="001F452C">
                                      <w:rPr>
                                        <w:b/>
                                        <w:bCs/>
                                      </w:rPr>
                                      <w:t>Gulf Island to be acquired... </w:t>
                                    </w:r>
                                    <w:r w:rsidRPr="001F452C">
                                      <w:t>IES Holdings and Gulf Island Fabrication have entered into an agreement for IES to acquire Gulf Island. The move expands IES's capabilities to deliver complex steel structures and specialty services supporting the company's growth in the data center market and the building of U.S. infrastructure.</w:t>
                                    </w:r>
                                  </w:p>
                                  <w:p w14:paraId="4774CE2D" w14:textId="77777777" w:rsidR="001F452C" w:rsidRPr="001F452C" w:rsidRDefault="001F452C" w:rsidP="001F452C">
                                    <w:r w:rsidRPr="001F452C">
                                      <w:rPr>
                                        <w:b/>
                                        <w:bCs/>
                                      </w:rPr>
                                      <w:t>Bollinger celebrates keel laying...</w:t>
                                    </w:r>
                                    <w:r w:rsidRPr="001F452C">
                                      <w:t> Joined by the U.S. Navy and more than 20 officials from the Lenape Nation, Bollinger Shipyards in Houma laid the keel for the future USNS </w:t>
                                    </w:r>
                                    <w:r w:rsidRPr="001F452C">
                                      <w:rPr>
                                        <w:i/>
                                        <w:iCs/>
                                      </w:rPr>
                                      <w:t>Lenni Lenape. </w:t>
                                    </w:r>
                                    <w:r w:rsidRPr="001F452C">
                                      <w:t>It is the sixth Navajo-class Towing, Salvage and Rescue Ship being constructed by Bollinger since April 2021.</w:t>
                                    </w:r>
                                  </w:p>
                                  <w:p w14:paraId="64992192" w14:textId="77777777" w:rsidR="001F452C" w:rsidRPr="001F452C" w:rsidRDefault="001F452C" w:rsidP="001F452C">
                                    <w:r w:rsidRPr="001F452C">
                                      <w:rPr>
                                        <w:b/>
                                        <w:bCs/>
                                      </w:rPr>
                                      <w:t>CIS receives awards... </w:t>
                                    </w:r>
                                    <w:r w:rsidRPr="001F452C">
                                      <w:t>Cardiovascular Institute of the South has received two gold awards from the American Heart Association: 1) the Gold Plus recognition in the "Target: BP" initiative for accuracy of blood pressure management and 2) for the fourth year in a row, the "Check. Change. Control. Cholesterol Gold Award" for detection and management of high cholesterol.</w:t>
                                    </w:r>
                                  </w:p>
                                  <w:p w14:paraId="4983E771" w14:textId="77777777" w:rsidR="001F452C" w:rsidRPr="001F452C" w:rsidRDefault="001F452C" w:rsidP="001F452C">
                                    <w:r w:rsidRPr="001F452C">
                                      <w:rPr>
                                        <w:b/>
                                        <w:bCs/>
                                      </w:rPr>
                                      <w:t>Louisiana Energy Awards... </w:t>
                                    </w:r>
                                    <w:r w:rsidRPr="001F452C">
                                      <w:t>presented by 10/12 Industry Report and Business Report, the Danos Foundation received the Community Impact Award for its philanthropic efforts supporting nonprofits, Entergy Louisiana was named Large Company of the Year, and Paul Danos was a finalist for Energy Executive of the Year.</w:t>
                                    </w:r>
                                  </w:p>
                                  <w:p w14:paraId="535EC86A" w14:textId="77777777" w:rsidR="001F452C" w:rsidRPr="001F452C" w:rsidRDefault="001F452C" w:rsidP="001F452C">
                                    <w:proofErr w:type="gramStart"/>
                                    <w:r w:rsidRPr="001F452C">
                                      <w:rPr>
                                        <w:b/>
                                        <w:bCs/>
                                      </w:rPr>
                                      <w:t>Danos</w:t>
                                    </w:r>
                                    <w:proofErr w:type="gramEnd"/>
                                    <w:r w:rsidRPr="001F452C">
                                      <w:rPr>
                                        <w:b/>
                                        <w:bCs/>
                                      </w:rPr>
                                      <w:t xml:space="preserve"> new leadership hire... </w:t>
                                    </w:r>
                                    <w:r w:rsidRPr="001F452C">
                                      <w:t>Luis Otero has been hired as Danos' general manager of outsourced operations and decommissioning, a new leadership role focused on expanding the company's decommissioning activities and launching its outsourced operations service line. He has 17 years of upstream energy experience.</w:t>
                                    </w:r>
                                  </w:p>
                                  <w:p w14:paraId="5FECF759" w14:textId="77777777" w:rsidR="001F452C" w:rsidRPr="001F452C" w:rsidRDefault="001F452C" w:rsidP="001F452C">
                                    <w:r w:rsidRPr="001F452C">
                                      <w:rPr>
                                        <w:b/>
                                        <w:bCs/>
                                      </w:rPr>
                                      <w:t>Good news from TGHS...</w:t>
                                    </w:r>
                                    <w:r w:rsidRPr="001F452C">
                                      <w:t xml:space="preserve"> Lots to celebrate: 1) Theresa Rome, Clinical Charge Master Analyst in Revenue Integrity at Terrebonne General Health System, was honored at the Annual Great 100 Nurses Celebration of Louisiana; she has been with TGHS for 38 years. 2) TGHS - in partnership with Gulf Coast Orthopedics - </w:t>
                                    </w:r>
                                    <w:r w:rsidRPr="001F452C">
                                      <w:lastRenderedPageBreak/>
                                      <w:t>was recognized as a Blue Distinction Center for Knee and Hip Replacement. 3) Dr. Brian Roberts, Emergency Department Medical Director, has received the Golden Stethoscope Award; he has been with TGHS for 12 years. 4) Dr. Kelly Maiche, emergency medicine specialist, has joined the staff; she completed her emergency medicine residency at LSU Health Sciences Center in New Orleans. 5) For the fifth consecutive period, the hospital has earned an "A" hospital safety grade from The Leapfrog Group, a national nonprofit that sets standards for excellence in patience care.</w:t>
                                    </w:r>
                                  </w:p>
                                  <w:p w14:paraId="63D7C061" w14:textId="77777777" w:rsidR="001F452C" w:rsidRPr="001F452C" w:rsidRDefault="001F452C" w:rsidP="001F452C">
                                    <w:r w:rsidRPr="001F452C">
                                      <w:rPr>
                                        <w:b/>
                                        <w:bCs/>
                                      </w:rPr>
                                      <w:t>Girl Scouts appoint Crochet...</w:t>
                                    </w:r>
                                    <w:r w:rsidRPr="001F452C">
                                      <w:t xml:space="preserve"> Monique Crochet, who has 17 </w:t>
                                    </w:r>
                                    <w:proofErr w:type="spellStart"/>
                                    <w:proofErr w:type="gramStart"/>
                                    <w:r w:rsidRPr="001F452C">
                                      <w:t>years</w:t>
                                    </w:r>
                                    <w:proofErr w:type="gramEnd"/>
                                    <w:r w:rsidRPr="001F452C">
                                      <w:t xml:space="preserve"> experience</w:t>
                                    </w:r>
                                    <w:proofErr w:type="spellEnd"/>
                                    <w:r w:rsidRPr="001F452C">
                                      <w:t xml:space="preserve"> in higher education advancement, has been appointed Girl Scouts Louisiana East's new Chief Development Officer. Crochet has served at Fletcher Technical Community College and Nicholls State </w:t>
                                    </w:r>
                                    <w:proofErr w:type="gramStart"/>
                                    <w:r w:rsidRPr="001F452C">
                                      <w:t>University, and</w:t>
                                    </w:r>
                                    <w:proofErr w:type="gramEnd"/>
                                    <w:r w:rsidRPr="001F452C">
                                      <w:t xml:space="preserve"> is City of Thibodaux Councilwoman.</w:t>
                                    </w:r>
                                  </w:p>
                                  <w:p w14:paraId="7281406F" w14:textId="77777777" w:rsidR="001F452C" w:rsidRPr="001F452C" w:rsidRDefault="001F452C" w:rsidP="001F452C">
                                    <w:r w:rsidRPr="001F452C">
                                      <w:rPr>
                                        <w:b/>
                                        <w:bCs/>
                                      </w:rPr>
                                      <w:t>Morrison lands Shell project...</w:t>
                                    </w:r>
                                    <w:r w:rsidRPr="001F452C">
                                      <w:t> Morrison has been awarded a major infrastructure project for a new elevated oil metering facility at Fourchon Junction by Shell Pipeline Co. The project includes pre-fabrication of approx. 500 tons of modules at Morrison's waterfront facilities in Houma and Harvey, among other facets of execution of the full project.</w:t>
                                    </w:r>
                                  </w:p>
                                  <w:p w14:paraId="6D47B6D3" w14:textId="77777777" w:rsidR="001F452C" w:rsidRPr="001F452C" w:rsidRDefault="001F452C" w:rsidP="001F452C">
                                    <w:r w:rsidRPr="001F452C">
                                      <w:rPr>
                                        <w:b/>
                                        <w:bCs/>
                                      </w:rPr>
                                      <w:t>Synergy Bank a 2025 Best Place to Work in Baton Rouge... </w:t>
                                    </w:r>
                                    <w:r w:rsidRPr="001F452C">
                                      <w:t>Synergy Bank ranked #8 out of 75 companies in the capital region and #2 among companies with 50-249 employees. The ranking is from the Greater Baton Rouge Business Report, The Greater Baton Rouge SHRM and Best Companies Group.</w:t>
                                    </w:r>
                                  </w:p>
                                </w:tc>
                              </w:tr>
                            </w:tbl>
                            <w:p w14:paraId="1F94B123" w14:textId="77777777" w:rsidR="001F452C" w:rsidRPr="001F452C" w:rsidRDefault="001F452C" w:rsidP="001F452C"/>
                          </w:tc>
                        </w:tr>
                      </w:tbl>
                      <w:p w14:paraId="3E2FF29C" w14:textId="77777777" w:rsidR="001F452C" w:rsidRPr="001F452C" w:rsidRDefault="001F452C" w:rsidP="001F452C"/>
                    </w:tc>
                  </w:tr>
                </w:tbl>
                <w:p w14:paraId="1C5A681D" w14:textId="77777777" w:rsidR="001F452C" w:rsidRPr="001F452C" w:rsidRDefault="001F452C" w:rsidP="001F452C"/>
              </w:tc>
            </w:tr>
          </w:tbl>
          <w:p w14:paraId="135CB6A9" w14:textId="77777777" w:rsidR="001F452C" w:rsidRPr="001F452C" w:rsidRDefault="001F452C" w:rsidP="001F452C"/>
        </w:tc>
      </w:tr>
      <w:tr w:rsidR="001F452C" w:rsidRPr="001F452C" w14:paraId="7663DDFE" w14:textId="77777777">
        <w:trPr>
          <w:tblCellSpacing w:w="0" w:type="dxa"/>
        </w:trPr>
        <w:tc>
          <w:tcPr>
            <w:tcW w:w="0" w:type="auto"/>
            <w:shd w:val="clear" w:color="auto" w:fill="E6E6E6"/>
            <w:hideMark/>
          </w:tcPr>
          <w:tbl>
            <w:tblPr>
              <w:tblW w:w="9330" w:type="dxa"/>
              <w:jc w:val="center"/>
              <w:tblCellSpacing w:w="0" w:type="dxa"/>
              <w:tblCellMar>
                <w:left w:w="0" w:type="dxa"/>
                <w:right w:w="0" w:type="dxa"/>
              </w:tblCellMar>
              <w:tblLook w:val="04A0" w:firstRow="1" w:lastRow="0" w:firstColumn="1" w:lastColumn="0" w:noHBand="0" w:noVBand="1"/>
            </w:tblPr>
            <w:tblGrid>
              <w:gridCol w:w="9330"/>
            </w:tblGrid>
            <w:tr w:rsidR="001F452C" w:rsidRPr="001F452C" w14:paraId="6A019C3A"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14"/>
                  </w:tblGrid>
                  <w:tr w:rsidR="001F452C" w:rsidRPr="001F452C" w14:paraId="73B40267" w14:textId="77777777">
                    <w:trPr>
                      <w:tblCellSpacing w:w="0" w:type="dxa"/>
                      <w:jc w:val="center"/>
                    </w:trPr>
                    <w:tc>
                      <w:tcPr>
                        <w:tcW w:w="0" w:type="auto"/>
                        <w:tcBorders>
                          <w:top w:val="single" w:sz="6" w:space="0" w:color="869198"/>
                          <w:left w:val="single" w:sz="6" w:space="0" w:color="869198"/>
                          <w:bottom w:val="single" w:sz="6" w:space="0" w:color="869198"/>
                          <w:right w:val="single" w:sz="6" w:space="0" w:color="869198"/>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1F452C" w:rsidRPr="001F452C" w14:paraId="7B0EF933" w14:textId="77777777">
                          <w:trPr>
                            <w:tblCellSpacing w:w="0" w:type="dxa"/>
                            <w:jc w:val="center"/>
                          </w:trPr>
                          <w:tc>
                            <w:tcPr>
                              <w:tcW w:w="90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1F452C" w:rsidRPr="001F452C" w14:paraId="52FC61CE" w14:textId="77777777">
                                <w:trPr>
                                  <w:tblCellSpacing w:w="0" w:type="dxa"/>
                                  <w:jc w:val="center"/>
                                </w:trPr>
                                <w:tc>
                                  <w:tcPr>
                                    <w:tcW w:w="0" w:type="auto"/>
                                    <w:tcMar>
                                      <w:top w:w="150" w:type="dxa"/>
                                      <w:left w:w="300" w:type="dxa"/>
                                      <w:bottom w:w="150" w:type="dxa"/>
                                      <w:right w:w="300" w:type="dxa"/>
                                    </w:tcMar>
                                    <w:hideMark/>
                                  </w:tcPr>
                                  <w:p w14:paraId="0CC0940D" w14:textId="77777777" w:rsidR="001F452C" w:rsidRPr="001F452C" w:rsidRDefault="001F452C" w:rsidP="001F452C">
                                    <w:r w:rsidRPr="001F452C">
                                      <w:rPr>
                                        <w:b/>
                                        <w:bCs/>
                                      </w:rPr>
                                      <w:lastRenderedPageBreak/>
                                      <w:t>Share your company's news in future editions of Terrebonne Parish Economic Highlights by emailing TEDA at </w:t>
                                    </w:r>
                                    <w:hyperlink r:id="rId4" w:tgtFrame="_blank" w:history="1">
                                      <w:r w:rsidRPr="001F452C">
                                        <w:rPr>
                                          <w:rStyle w:val="Hyperlink"/>
                                          <w:b/>
                                          <w:bCs/>
                                        </w:rPr>
                                        <w:t>ktheriot@tpeda.org</w:t>
                                      </w:r>
                                    </w:hyperlink>
                                    <w:r w:rsidRPr="001F452C">
                                      <w:rPr>
                                        <w:b/>
                                        <w:bCs/>
                                      </w:rPr>
                                      <w:t> today!</w:t>
                                    </w:r>
                                  </w:p>
                                </w:tc>
                              </w:tr>
                              <w:tr w:rsidR="001F452C" w:rsidRPr="001F452C" w14:paraId="03F474B4" w14:textId="77777777">
                                <w:trPr>
                                  <w:tblCellSpacing w:w="0" w:type="dxa"/>
                                  <w:jc w:val="center"/>
                                </w:trPr>
                                <w:tc>
                                  <w:tcPr>
                                    <w:tcW w:w="0" w:type="auto"/>
                                    <w:tcMar>
                                      <w:top w:w="150" w:type="dxa"/>
                                      <w:left w:w="300" w:type="dxa"/>
                                      <w:bottom w:w="150" w:type="dxa"/>
                                      <w:right w:w="30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836"/>
                                    </w:tblGrid>
                                    <w:tr w:rsidR="001F452C" w:rsidRPr="001F452C" w14:paraId="22B90FE3" w14:textId="77777777">
                                      <w:trPr>
                                        <w:tblCellSpacing w:w="0" w:type="dxa"/>
                                        <w:jc w:val="center"/>
                                      </w:trPr>
                                      <w:tc>
                                        <w:tcPr>
                                          <w:tcW w:w="0" w:type="auto"/>
                                          <w:vAlign w:val="center"/>
                                          <w:hideMark/>
                                        </w:tcPr>
                                        <w:p w14:paraId="54AA4229" w14:textId="6F5231EC" w:rsidR="001F452C" w:rsidRPr="001F452C" w:rsidRDefault="001F452C" w:rsidP="001F452C">
                                          <w:r w:rsidRPr="001F452C">
                                            <w:drawing>
                                              <wp:inline distT="0" distB="0" distL="0" distR="0" wp14:anchorId="5A35B673" wp14:editId="3CCB6188">
                                                <wp:extent cx="1165860" cy="609600"/>
                                                <wp:effectExtent l="0" t="0" r="0" b="0"/>
                                                <wp:docPr id="1279359260"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59260" name="Picture 2" descr="A close-up of a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5860" cy="609600"/>
                                                        </a:xfrm>
                                                        <a:prstGeom prst="rect">
                                                          <a:avLst/>
                                                        </a:prstGeom>
                                                        <a:noFill/>
                                                        <a:ln>
                                                          <a:noFill/>
                                                        </a:ln>
                                                      </pic:spPr>
                                                    </pic:pic>
                                                  </a:graphicData>
                                                </a:graphic>
                                              </wp:inline>
                                            </w:drawing>
                                          </w:r>
                                        </w:p>
                                      </w:tc>
                                    </w:tr>
                                  </w:tbl>
                                  <w:p w14:paraId="30A34E02" w14:textId="77777777" w:rsidR="001F452C" w:rsidRPr="001F452C" w:rsidRDefault="001F452C" w:rsidP="001F452C"/>
                                </w:tc>
                              </w:tr>
                            </w:tbl>
                            <w:p w14:paraId="542DC5ED" w14:textId="77777777" w:rsidR="001F452C" w:rsidRPr="001F452C" w:rsidRDefault="001F452C" w:rsidP="001F452C"/>
                          </w:tc>
                        </w:tr>
                      </w:tbl>
                      <w:p w14:paraId="087B0D25" w14:textId="77777777" w:rsidR="001F452C" w:rsidRPr="001F452C" w:rsidRDefault="001F452C" w:rsidP="001F452C"/>
                    </w:tc>
                  </w:tr>
                </w:tbl>
                <w:p w14:paraId="5BCD31F0" w14:textId="77777777" w:rsidR="001F452C" w:rsidRPr="001F452C" w:rsidRDefault="001F452C" w:rsidP="001F452C"/>
              </w:tc>
            </w:tr>
          </w:tbl>
          <w:p w14:paraId="5AD34751" w14:textId="77777777" w:rsidR="001F452C" w:rsidRPr="001F452C" w:rsidRDefault="001F452C" w:rsidP="001F452C"/>
        </w:tc>
      </w:tr>
    </w:tbl>
    <w:p w14:paraId="641007FA" w14:textId="77777777" w:rsidR="0055347C" w:rsidRDefault="0055347C"/>
    <w:sectPr w:rsidR="00553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52C"/>
    <w:rsid w:val="000E58BC"/>
    <w:rsid w:val="001A4ABB"/>
    <w:rsid w:val="001F452C"/>
    <w:rsid w:val="0055347C"/>
    <w:rsid w:val="005C04A2"/>
    <w:rsid w:val="006B6A6D"/>
    <w:rsid w:val="00897B17"/>
    <w:rsid w:val="00C24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B28A6"/>
  <w15:chartTrackingRefBased/>
  <w15:docId w15:val="{D6C94098-EF78-44DC-9683-DE1D3C15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5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5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5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5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5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5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5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5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5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5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5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5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5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5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5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52C"/>
    <w:rPr>
      <w:rFonts w:eastAsiaTheme="majorEastAsia" w:cstheme="majorBidi"/>
      <w:color w:val="272727" w:themeColor="text1" w:themeTint="D8"/>
    </w:rPr>
  </w:style>
  <w:style w:type="paragraph" w:styleId="Title">
    <w:name w:val="Title"/>
    <w:basedOn w:val="Normal"/>
    <w:next w:val="Normal"/>
    <w:link w:val="TitleChar"/>
    <w:uiPriority w:val="10"/>
    <w:qFormat/>
    <w:rsid w:val="001F4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5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52C"/>
    <w:pPr>
      <w:spacing w:before="160"/>
      <w:jc w:val="center"/>
    </w:pPr>
    <w:rPr>
      <w:i/>
      <w:iCs/>
      <w:color w:val="404040" w:themeColor="text1" w:themeTint="BF"/>
    </w:rPr>
  </w:style>
  <w:style w:type="character" w:customStyle="1" w:styleId="QuoteChar">
    <w:name w:val="Quote Char"/>
    <w:basedOn w:val="DefaultParagraphFont"/>
    <w:link w:val="Quote"/>
    <w:uiPriority w:val="29"/>
    <w:rsid w:val="001F452C"/>
    <w:rPr>
      <w:i/>
      <w:iCs/>
      <w:color w:val="404040" w:themeColor="text1" w:themeTint="BF"/>
    </w:rPr>
  </w:style>
  <w:style w:type="paragraph" w:styleId="ListParagraph">
    <w:name w:val="List Paragraph"/>
    <w:basedOn w:val="Normal"/>
    <w:uiPriority w:val="34"/>
    <w:qFormat/>
    <w:rsid w:val="001F452C"/>
    <w:pPr>
      <w:ind w:left="720"/>
      <w:contextualSpacing/>
    </w:pPr>
  </w:style>
  <w:style w:type="character" w:styleId="IntenseEmphasis">
    <w:name w:val="Intense Emphasis"/>
    <w:basedOn w:val="DefaultParagraphFont"/>
    <w:uiPriority w:val="21"/>
    <w:qFormat/>
    <w:rsid w:val="001F452C"/>
    <w:rPr>
      <w:i/>
      <w:iCs/>
      <w:color w:val="0F4761" w:themeColor="accent1" w:themeShade="BF"/>
    </w:rPr>
  </w:style>
  <w:style w:type="paragraph" w:styleId="IntenseQuote">
    <w:name w:val="Intense Quote"/>
    <w:basedOn w:val="Normal"/>
    <w:next w:val="Normal"/>
    <w:link w:val="IntenseQuoteChar"/>
    <w:uiPriority w:val="30"/>
    <w:qFormat/>
    <w:rsid w:val="001F4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52C"/>
    <w:rPr>
      <w:i/>
      <w:iCs/>
      <w:color w:val="0F4761" w:themeColor="accent1" w:themeShade="BF"/>
    </w:rPr>
  </w:style>
  <w:style w:type="character" w:styleId="IntenseReference">
    <w:name w:val="Intense Reference"/>
    <w:basedOn w:val="DefaultParagraphFont"/>
    <w:uiPriority w:val="32"/>
    <w:qFormat/>
    <w:rsid w:val="001F452C"/>
    <w:rPr>
      <w:b/>
      <w:bCs/>
      <w:smallCaps/>
      <w:color w:val="0F4761" w:themeColor="accent1" w:themeShade="BF"/>
      <w:spacing w:val="5"/>
    </w:rPr>
  </w:style>
  <w:style w:type="character" w:styleId="Hyperlink">
    <w:name w:val="Hyperlink"/>
    <w:basedOn w:val="DefaultParagraphFont"/>
    <w:uiPriority w:val="99"/>
    <w:unhideWhenUsed/>
    <w:rsid w:val="001F452C"/>
    <w:rPr>
      <w:color w:val="467886" w:themeColor="hyperlink"/>
      <w:u w:val="single"/>
    </w:rPr>
  </w:style>
  <w:style w:type="character" w:styleId="UnresolvedMention">
    <w:name w:val="Unresolved Mention"/>
    <w:basedOn w:val="DefaultParagraphFont"/>
    <w:uiPriority w:val="99"/>
    <w:semiHidden/>
    <w:unhideWhenUsed/>
    <w:rsid w:val="001F4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ktheriot@tpe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3142</Characters>
  <Application>Microsoft Office Word</Application>
  <DocSecurity>0</DocSecurity>
  <Lines>73</Lines>
  <Paragraphs>14</Paragraphs>
  <ScaleCrop>false</ScaleCrop>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Gilbert-Theriot</dc:creator>
  <cp:keywords/>
  <dc:description/>
  <cp:lastModifiedBy>Katherine Gilbert-Theriot</cp:lastModifiedBy>
  <cp:revision>1</cp:revision>
  <dcterms:created xsi:type="dcterms:W3CDTF">2025-11-14T15:54:00Z</dcterms:created>
  <dcterms:modified xsi:type="dcterms:W3CDTF">2025-11-14T15:56:00Z</dcterms:modified>
</cp:coreProperties>
</file>